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42AC" w14:textId="77777777" w:rsidR="00F524F5" w:rsidRPr="002F4BFB" w:rsidRDefault="00F524F5" w:rsidP="00F524F5">
      <w:r w:rsidRPr="002F4BFB">
        <w:t>Release Notes for v1.6</w:t>
      </w:r>
      <w:r w:rsidR="00E872CD" w:rsidRPr="002F4BFB">
        <w:t>:</w:t>
      </w:r>
    </w:p>
    <w:p w14:paraId="3524AC88" w14:textId="77777777" w:rsidR="002F4BFB" w:rsidRPr="002F4BFB" w:rsidRDefault="002F4BFB" w:rsidP="00F524F5"/>
    <w:p w14:paraId="5AFBB466"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1. We are now releasing cancer WGS analyses that contain Tier 3 germline analysis. </w:t>
      </w:r>
    </w:p>
    <w:p w14:paraId="0544827A"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 </w:t>
      </w:r>
      <w:r w:rsidRPr="00E872CD">
        <w:rPr>
          <w:rFonts w:eastAsia="Times New Roman" w:cs="Segoe UI"/>
          <w:color w:val="000000"/>
        </w:rPr>
        <w:br/>
        <w:t xml:space="preserve">The </w:t>
      </w:r>
      <w:proofErr w:type="gramStart"/>
      <w:r w:rsidRPr="00E872CD">
        <w:rPr>
          <w:rFonts w:eastAsia="Times New Roman" w:cs="Segoe UI"/>
          <w:color w:val="000000"/>
        </w:rPr>
        <w:t>criteria for Tier 3 analysis were evolved by the NHSE V&amp;R working subgroup on cancer germline findings</w:t>
      </w:r>
      <w:proofErr w:type="gramEnd"/>
      <w:r w:rsidRPr="00E872CD">
        <w:rPr>
          <w:rFonts w:eastAsia="Times New Roman" w:cs="Segoe UI"/>
          <w:color w:val="000000"/>
        </w:rPr>
        <w:t>.  We shall be reporting all non-synonymous</w:t>
      </w:r>
      <w:bookmarkStart w:id="0" w:name="_GoBack"/>
      <w:bookmarkEnd w:id="0"/>
      <w:r w:rsidRPr="00E872CD">
        <w:rPr>
          <w:rFonts w:eastAsia="Times New Roman" w:cs="Segoe UI"/>
          <w:color w:val="000000"/>
        </w:rPr>
        <w:t xml:space="preserve"> low frequency variants in a broad panel of genes that confer susceptibility to cancer.  Variants in genes on the germline panel for the relevant tumour type will be placed at the top of the list.  Variants will be annotated, including by a link to ClinVar (where variant exists in ClinVar). Technical details can be found at </w:t>
      </w:r>
      <w:r w:rsidRPr="00E872CD">
        <w:rPr>
          <w:rFonts w:eastAsia="Times New Roman" w:cs="Segoe UI"/>
          <w:color w:val="212121"/>
        </w:rPr>
        <w:fldChar w:fldCharType="begin"/>
      </w:r>
      <w:r w:rsidRPr="00E872CD">
        <w:rPr>
          <w:rFonts w:eastAsia="Times New Roman" w:cs="Segoe UI"/>
          <w:color w:val="212121"/>
        </w:rPr>
        <w:instrText xml:space="preserve"> HYPERLINK "https://www.genomicsengland.co.uk/information-for-gmc-staff/cancer-programme/cancer-genome-analysis/" \t "_blank" </w:instrText>
      </w:r>
      <w:r w:rsidRPr="002F4BFB">
        <w:rPr>
          <w:rFonts w:eastAsia="Times New Roman" w:cs="Segoe UI"/>
          <w:color w:val="212121"/>
        </w:rPr>
      </w:r>
      <w:r w:rsidRPr="00E872CD">
        <w:rPr>
          <w:rFonts w:eastAsia="Times New Roman" w:cs="Segoe UI"/>
          <w:color w:val="212121"/>
        </w:rPr>
        <w:fldChar w:fldCharType="separate"/>
      </w:r>
      <w:r w:rsidRPr="002F4BFB">
        <w:rPr>
          <w:rFonts w:eastAsia="Times New Roman" w:cs="Segoe UI"/>
          <w:color w:val="0000FF"/>
          <w:u w:val="single"/>
        </w:rPr>
        <w:t>https://www.genomicsengland.co.uk/information-for-gmc-staff/cancer-programme/cancer-genome-analysis/</w:t>
      </w:r>
      <w:r w:rsidRPr="00E872CD">
        <w:rPr>
          <w:rFonts w:eastAsia="Times New Roman" w:cs="Segoe UI"/>
          <w:color w:val="212121"/>
        </w:rPr>
        <w:fldChar w:fldCharType="end"/>
      </w:r>
      <w:r w:rsidRPr="00E872CD">
        <w:rPr>
          <w:rFonts w:eastAsia="Times New Roman" w:cs="Segoe UI"/>
          <w:color w:val="000000"/>
        </w:rPr>
        <w:t>. The gene panel</w:t>
      </w:r>
      <w:r w:rsidRPr="00E872CD">
        <w:rPr>
          <w:rFonts w:eastAsia="Times New Roman" w:cs="Segoe UI"/>
          <w:color w:val="212121"/>
        </w:rPr>
        <w:t>s</w:t>
      </w:r>
      <w:r w:rsidRPr="00E872CD">
        <w:rPr>
          <w:rFonts w:eastAsia="Times New Roman" w:cs="Segoe UI"/>
          <w:color w:val="FF0000"/>
        </w:rPr>
        <w:t> </w:t>
      </w:r>
      <w:r w:rsidRPr="00E872CD">
        <w:rPr>
          <w:rFonts w:eastAsia="Times New Roman" w:cs="Segoe UI"/>
          <w:color w:val="000000"/>
        </w:rPr>
        <w:t>used for Tier 3 calling can be found at </w:t>
      </w:r>
      <w:r w:rsidRPr="00E872CD">
        <w:rPr>
          <w:rFonts w:eastAsia="Times New Roman" w:cs="Segoe UI"/>
          <w:color w:val="212121"/>
        </w:rPr>
        <w:fldChar w:fldCharType="begin"/>
      </w:r>
      <w:r w:rsidRPr="00E872CD">
        <w:rPr>
          <w:rFonts w:eastAsia="Times New Roman" w:cs="Segoe UI"/>
          <w:color w:val="212121"/>
        </w:rPr>
        <w:instrText xml:space="preserve"> HYPERLINK "https://panelapp.genomicsengland.co.uk/" \t "_blank" </w:instrText>
      </w:r>
      <w:r w:rsidRPr="002F4BFB">
        <w:rPr>
          <w:rFonts w:eastAsia="Times New Roman" w:cs="Segoe UI"/>
          <w:color w:val="212121"/>
        </w:rPr>
      </w:r>
      <w:r w:rsidRPr="00E872CD">
        <w:rPr>
          <w:rFonts w:eastAsia="Times New Roman" w:cs="Segoe UI"/>
          <w:color w:val="212121"/>
        </w:rPr>
        <w:fldChar w:fldCharType="separate"/>
      </w:r>
      <w:r w:rsidRPr="002F4BFB">
        <w:rPr>
          <w:rFonts w:eastAsia="Times New Roman" w:cs="Segoe UI"/>
          <w:color w:val="0000FF"/>
          <w:u w:val="single"/>
        </w:rPr>
        <w:t>https://panelapp.genomicsengland.co.uk</w:t>
      </w:r>
      <w:r w:rsidRPr="00E872CD">
        <w:rPr>
          <w:rFonts w:eastAsia="Times New Roman" w:cs="Segoe UI"/>
          <w:color w:val="212121"/>
        </w:rPr>
        <w:fldChar w:fldCharType="end"/>
      </w:r>
      <w:r w:rsidRPr="00E872CD">
        <w:rPr>
          <w:rFonts w:eastAsia="Times New Roman" w:cs="Segoe UI"/>
          <w:color w:val="000000"/>
        </w:rPr>
        <w:t>. </w:t>
      </w:r>
      <w:r w:rsidRPr="00E872CD">
        <w:rPr>
          <w:rFonts w:eastAsia="Times New Roman" w:cs="Segoe UI"/>
          <w:color w:val="212121"/>
        </w:rPr>
        <w:t xml:space="preserve">The version of each panel used for the analysis will be provided in HTML report, and each version can be downloaded or queried from </w:t>
      </w:r>
      <w:proofErr w:type="spellStart"/>
      <w:r w:rsidRPr="00E872CD">
        <w:rPr>
          <w:rFonts w:eastAsia="Times New Roman" w:cs="Segoe UI"/>
          <w:color w:val="212121"/>
        </w:rPr>
        <w:t>PanelApp</w:t>
      </w:r>
      <w:proofErr w:type="spellEnd"/>
      <w:r w:rsidRPr="00E872CD">
        <w:rPr>
          <w:rFonts w:eastAsia="Times New Roman" w:cs="Segoe UI"/>
          <w:color w:val="212121"/>
        </w:rPr>
        <w:t>.</w:t>
      </w:r>
      <w:r w:rsidRPr="00E872CD">
        <w:rPr>
          <w:rFonts w:eastAsia="Times New Roman" w:cs="Segoe UI"/>
          <w:color w:val="212121"/>
        </w:rPr>
        <w:br/>
      </w:r>
      <w:r w:rsidRPr="00E872CD">
        <w:rPr>
          <w:rFonts w:eastAsia="Times New Roman" w:cs="Segoe UI"/>
          <w:color w:val="000000"/>
        </w:rPr>
        <w:br/>
        <w:t>As you are likely aware, the criteria by which we report Tier 1 germline variants are (</w:t>
      </w:r>
      <w:proofErr w:type="spellStart"/>
      <w:r w:rsidRPr="00E872CD">
        <w:rPr>
          <w:rFonts w:eastAsia="Times New Roman" w:cs="Segoe UI"/>
          <w:color w:val="000000"/>
        </w:rPr>
        <w:t>i</w:t>
      </w:r>
      <w:proofErr w:type="spellEnd"/>
      <w:r w:rsidRPr="00E872CD">
        <w:rPr>
          <w:rFonts w:eastAsia="Times New Roman" w:cs="Segoe UI"/>
          <w:color w:val="000000"/>
        </w:rPr>
        <w:t>) on-tumour association (ii) truncating (in LOF gene) and/or 2 star pathogenic/likely pathogenic classification on ClinVar.</w:t>
      </w:r>
      <w:r w:rsidRPr="00E872CD">
        <w:rPr>
          <w:rFonts w:eastAsia="Times New Roman" w:cs="Segoe UI"/>
          <w:color w:val="000000"/>
        </w:rPr>
        <w:br/>
        <w:t> </w:t>
      </w:r>
      <w:r w:rsidRPr="00E872CD">
        <w:rPr>
          <w:rFonts w:eastAsia="Times New Roman" w:cs="Segoe UI"/>
          <w:color w:val="000000"/>
        </w:rPr>
        <w:br/>
        <w:t>It is not anticipated or required that Tier 3 will be reviewed for all patients, but it may be appropriate to review if (</w:t>
      </w:r>
      <w:proofErr w:type="spellStart"/>
      <w:r w:rsidRPr="00E872CD">
        <w:rPr>
          <w:rFonts w:eastAsia="Times New Roman" w:cs="Segoe UI"/>
          <w:color w:val="000000"/>
        </w:rPr>
        <w:t>i</w:t>
      </w:r>
      <w:proofErr w:type="spellEnd"/>
      <w:r w:rsidRPr="00E872CD">
        <w:rPr>
          <w:rFonts w:eastAsia="Times New Roman" w:cs="Segoe UI"/>
          <w:color w:val="000000"/>
        </w:rPr>
        <w:t>) the likely susceptibility gene is less well reported on ClinVar such that bone fide pathogenic missense/splicing variants have not achieved 2 stars (ii) there is a high index of suspicion of germline susceptibility in the individual and/or (iii) a strong family history of other cancers.</w:t>
      </w:r>
      <w:r w:rsidRPr="00E872CD">
        <w:rPr>
          <w:rFonts w:eastAsia="Times New Roman" w:cs="Segoe UI"/>
          <w:color w:val="000000"/>
        </w:rPr>
        <w:br/>
        <w:t> </w:t>
      </w:r>
      <w:r w:rsidRPr="00E872CD">
        <w:rPr>
          <w:rFonts w:eastAsia="Times New Roman" w:cs="Segoe UI"/>
          <w:color w:val="000000"/>
        </w:rPr>
        <w:br/>
        <w:t>As per Tier 1 variants, if a variant is deemed relevant, it is recommended that you review the variant in the IGV provided and assess via ACMG criteria. Variants should be technically validated locally.  Variants returned to the patient should be reported in the feedback form.</w:t>
      </w:r>
    </w:p>
    <w:p w14:paraId="304E387F"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 </w:t>
      </w:r>
    </w:p>
    <w:p w14:paraId="43DA2020"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2. We now display the tumour mutational burden (TMB) of the patient plotted against the range of TMB values for the respective tumour type and alongside different tumour types that have been sequenced in the 100,000 Genomes Project. </w:t>
      </w:r>
    </w:p>
    <w:p w14:paraId="220F4A1D"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 </w:t>
      </w:r>
    </w:p>
    <w:p w14:paraId="3F9AEFE2"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000000"/>
        </w:rPr>
        <w:t>3. We also would like to remind you that the variant's genomic coordinates in HTML report are linked to IGV view. You can also use 'Download batch script' functionality to review the variant in IGV viewer on your local machine. Ple</w:t>
      </w:r>
      <w:r w:rsidR="002F4BFB" w:rsidRPr="002F4BFB">
        <w:rPr>
          <w:rFonts w:eastAsia="Times New Roman" w:cs="Segoe UI"/>
          <w:color w:val="000000"/>
        </w:rPr>
        <w:t>ase find details in the</w:t>
      </w:r>
      <w:r w:rsidRPr="00E872CD">
        <w:rPr>
          <w:rFonts w:eastAsia="Times New Roman" w:cs="Segoe UI"/>
          <w:color w:val="000000"/>
        </w:rPr>
        <w:t xml:space="preserve"> 'Access to genomic data for GMCs – User guide'</w:t>
      </w:r>
      <w:r w:rsidR="002F4BFB" w:rsidRPr="002F4BFB">
        <w:rPr>
          <w:rFonts w:eastAsia="Times New Roman" w:cs="Segoe UI"/>
          <w:color w:val="000000"/>
        </w:rPr>
        <w:t xml:space="preserve"> available at https://www.networks.nhs.uk/nhs-networks/gmc-network/documents/access-to-genomic-data-for-nhs-gmcs-2013-user-guide/view</w:t>
      </w:r>
    </w:p>
    <w:p w14:paraId="35F19788" w14:textId="77777777" w:rsidR="00E872CD" w:rsidRPr="00E872CD" w:rsidRDefault="00E872CD" w:rsidP="00E872CD">
      <w:pPr>
        <w:shd w:val="clear" w:color="auto" w:fill="FFFFFF"/>
        <w:rPr>
          <w:rFonts w:eastAsia="Times New Roman" w:cs="Segoe UI"/>
          <w:color w:val="212121"/>
        </w:rPr>
      </w:pPr>
      <w:r w:rsidRPr="00E872CD">
        <w:rPr>
          <w:rFonts w:eastAsia="Times New Roman" w:cs="Segoe UI"/>
          <w:color w:val="212121"/>
        </w:rPr>
        <w:t> </w:t>
      </w:r>
    </w:p>
    <w:p w14:paraId="104EFB80" w14:textId="77777777" w:rsidR="00E872CD" w:rsidRPr="002F4BFB" w:rsidRDefault="00E872CD" w:rsidP="00F524F5"/>
    <w:p w14:paraId="41130EBA" w14:textId="77777777" w:rsidR="000517D0" w:rsidRPr="002F4BFB" w:rsidRDefault="000517D0"/>
    <w:p w14:paraId="1328DC60" w14:textId="77777777" w:rsidR="00F524F5" w:rsidRPr="002F4BFB" w:rsidRDefault="00F524F5"/>
    <w:sectPr w:rsidR="00F524F5" w:rsidRPr="002F4BFB" w:rsidSect="000517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F5"/>
    <w:rsid w:val="000517D0"/>
    <w:rsid w:val="002F4BFB"/>
    <w:rsid w:val="00E872CD"/>
    <w:rsid w:val="00F52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C7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2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8199">
      <w:bodyDiv w:val="1"/>
      <w:marLeft w:val="0"/>
      <w:marRight w:val="0"/>
      <w:marTop w:val="0"/>
      <w:marBottom w:val="0"/>
      <w:divBdr>
        <w:top w:val="none" w:sz="0" w:space="0" w:color="auto"/>
        <w:left w:val="none" w:sz="0" w:space="0" w:color="auto"/>
        <w:bottom w:val="none" w:sz="0" w:space="0" w:color="auto"/>
        <w:right w:val="none" w:sz="0" w:space="0" w:color="auto"/>
      </w:divBdr>
      <w:divsChild>
        <w:div w:id="326134353">
          <w:marLeft w:val="720"/>
          <w:marRight w:val="0"/>
          <w:marTop w:val="0"/>
          <w:marBottom w:val="0"/>
          <w:divBdr>
            <w:top w:val="none" w:sz="0" w:space="0" w:color="auto"/>
            <w:left w:val="none" w:sz="0" w:space="0" w:color="auto"/>
            <w:bottom w:val="none" w:sz="0" w:space="0" w:color="auto"/>
            <w:right w:val="none" w:sz="0" w:space="0" w:color="auto"/>
          </w:divBdr>
        </w:div>
        <w:div w:id="1488092213">
          <w:marLeft w:val="1440"/>
          <w:marRight w:val="0"/>
          <w:marTop w:val="0"/>
          <w:marBottom w:val="0"/>
          <w:divBdr>
            <w:top w:val="none" w:sz="0" w:space="0" w:color="auto"/>
            <w:left w:val="none" w:sz="0" w:space="0" w:color="auto"/>
            <w:bottom w:val="none" w:sz="0" w:space="0" w:color="auto"/>
            <w:right w:val="none" w:sz="0" w:space="0" w:color="auto"/>
          </w:divBdr>
        </w:div>
        <w:div w:id="629943656">
          <w:marLeft w:val="720"/>
          <w:marRight w:val="0"/>
          <w:marTop w:val="0"/>
          <w:marBottom w:val="0"/>
          <w:divBdr>
            <w:top w:val="none" w:sz="0" w:space="0" w:color="auto"/>
            <w:left w:val="none" w:sz="0" w:space="0" w:color="auto"/>
            <w:bottom w:val="none" w:sz="0" w:space="0" w:color="auto"/>
            <w:right w:val="none" w:sz="0" w:space="0" w:color="auto"/>
          </w:divBdr>
        </w:div>
        <w:div w:id="249773376">
          <w:marLeft w:val="720"/>
          <w:marRight w:val="0"/>
          <w:marTop w:val="0"/>
          <w:marBottom w:val="0"/>
          <w:divBdr>
            <w:top w:val="none" w:sz="0" w:space="0" w:color="auto"/>
            <w:left w:val="none" w:sz="0" w:space="0" w:color="auto"/>
            <w:bottom w:val="none" w:sz="0" w:space="0" w:color="auto"/>
            <w:right w:val="none" w:sz="0" w:space="0" w:color="auto"/>
          </w:divBdr>
        </w:div>
        <w:div w:id="1500777160">
          <w:marLeft w:val="720"/>
          <w:marRight w:val="0"/>
          <w:marTop w:val="0"/>
          <w:marBottom w:val="0"/>
          <w:divBdr>
            <w:top w:val="none" w:sz="0" w:space="0" w:color="auto"/>
            <w:left w:val="none" w:sz="0" w:space="0" w:color="auto"/>
            <w:bottom w:val="none" w:sz="0" w:space="0" w:color="auto"/>
            <w:right w:val="none" w:sz="0" w:space="0" w:color="auto"/>
          </w:divBdr>
        </w:div>
        <w:div w:id="474831632">
          <w:marLeft w:val="720"/>
          <w:marRight w:val="0"/>
          <w:marTop w:val="0"/>
          <w:marBottom w:val="0"/>
          <w:divBdr>
            <w:top w:val="none" w:sz="0" w:space="0" w:color="auto"/>
            <w:left w:val="none" w:sz="0" w:space="0" w:color="auto"/>
            <w:bottom w:val="none" w:sz="0" w:space="0" w:color="auto"/>
            <w:right w:val="none" w:sz="0" w:space="0" w:color="auto"/>
          </w:divBdr>
        </w:div>
        <w:div w:id="6906843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2306</Characters>
  <Application>Microsoft Macintosh Word</Application>
  <DocSecurity>0</DocSecurity>
  <Lines>19</Lines>
  <Paragraphs>5</Paragraphs>
  <ScaleCrop>false</ScaleCrop>
  <Company>GE</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A S</cp:lastModifiedBy>
  <cp:revision>2</cp:revision>
  <dcterms:created xsi:type="dcterms:W3CDTF">2018-10-01T10:03:00Z</dcterms:created>
  <dcterms:modified xsi:type="dcterms:W3CDTF">2018-10-01T21:25:00Z</dcterms:modified>
</cp:coreProperties>
</file>